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67DB" w14:textId="4359FA9A" w:rsidR="00D842C2" w:rsidRPr="00607F56" w:rsidRDefault="002170C9" w:rsidP="001033CB">
      <w:pPr>
        <w:spacing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40"/>
          <w:szCs w:val="36"/>
        </w:rPr>
      </w:pPr>
      <w:r w:rsidRPr="00607F56">
        <w:rPr>
          <w:rFonts w:ascii="Times New Roman" w:eastAsia="標楷體" w:hAnsi="Times New Roman" w:cs="Times New Roman"/>
          <w:noProof/>
          <w:color w:val="000000" w:themeColor="text1"/>
          <w:sz w:val="48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326C1D" wp14:editId="3DAA5702">
                <wp:simplePos x="0" y="0"/>
                <wp:positionH relativeFrom="column">
                  <wp:posOffset>65405</wp:posOffset>
                </wp:positionH>
                <wp:positionV relativeFrom="paragraph">
                  <wp:posOffset>-387795</wp:posOffset>
                </wp:positionV>
                <wp:extent cx="712470" cy="1404620"/>
                <wp:effectExtent l="0" t="0" r="11430" b="203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10CCA" w14:textId="2097BF76" w:rsidR="002170C9" w:rsidRPr="009A4659" w:rsidRDefault="002170C9" w:rsidP="002170C9">
                            <w:pPr>
                              <w:spacing w:line="32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4"/>
                              </w:rPr>
                            </w:pPr>
                            <w:r w:rsidRPr="009A4659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4"/>
                              </w:rPr>
                              <w:t>附件</w:t>
                            </w:r>
                            <w:r w:rsidR="009557BA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326C1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.15pt;margin-top:-30.55pt;width:56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">
                <v:textbox style="mso-fit-shape-to-text:t">
                  <w:txbxContent>
                    <w:p w14:paraId="25910CCA" w14:textId="2097BF76" w:rsidR="002170C9" w:rsidRPr="009A4659" w:rsidRDefault="002170C9" w:rsidP="002170C9">
                      <w:pPr>
                        <w:spacing w:line="320" w:lineRule="exact"/>
                        <w:rPr>
                          <w:rFonts w:ascii="Times New Roman" w:eastAsia="標楷體" w:hAnsi="Times New Roman" w:cs="Times New Roman"/>
                          <w:sz w:val="28"/>
                          <w:szCs w:val="24"/>
                        </w:rPr>
                      </w:pPr>
                      <w:r w:rsidRPr="009A4659">
                        <w:rPr>
                          <w:rFonts w:ascii="Times New Roman" w:eastAsia="標楷體" w:hAnsi="Times New Roman" w:cs="Times New Roman"/>
                          <w:sz w:val="28"/>
                          <w:szCs w:val="24"/>
                        </w:rPr>
                        <w:t>附件</w:t>
                      </w:r>
                      <w:r w:rsidR="009557BA">
                        <w:rPr>
                          <w:rFonts w:ascii="Times New Roman" w:eastAsia="標楷體" w:hAnsi="Times New Roman" w:cs="Times New Roman" w:hint="eastAsia"/>
                          <w:sz w:val="28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033CB" w:rsidRPr="00607F56">
        <w:rPr>
          <w:rFonts w:ascii="Times New Roman" w:eastAsia="標楷體" w:hAnsi="Times New Roman" w:cs="Times New Roman"/>
          <w:color w:val="000000" w:themeColor="text1"/>
          <w:sz w:val="40"/>
          <w:szCs w:val="36"/>
        </w:rPr>
        <w:t>中華民國證券商業同業公會</w:t>
      </w:r>
      <w:r w:rsidR="003A7A17" w:rsidRPr="00607F56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「</w:t>
      </w:r>
      <w:r w:rsidR="003C688A" w:rsidRPr="00607F56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承銷商辦理初次上市（櫃）案件承銷作業應行注意事項要點</w:t>
      </w:r>
      <w:r w:rsidR="003A7A17" w:rsidRPr="00607F56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」</w:t>
      </w:r>
      <w:r w:rsidR="003C688A" w:rsidRPr="00607F56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第二點</w:t>
      </w:r>
      <w:r w:rsidR="001033CB" w:rsidRPr="00607F56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修正條文對照表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5341F6" w:rsidRPr="00607F56" w14:paraId="5FDF3BE1" w14:textId="77777777" w:rsidTr="002170C9">
        <w:tc>
          <w:tcPr>
            <w:tcW w:w="3211" w:type="dxa"/>
          </w:tcPr>
          <w:p w14:paraId="1E7F392C" w14:textId="43AE6CA2" w:rsidR="00D842C2" w:rsidRPr="00607F56" w:rsidRDefault="003D2D1D" w:rsidP="001C489D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修正條文</w:t>
            </w:r>
          </w:p>
        </w:tc>
        <w:tc>
          <w:tcPr>
            <w:tcW w:w="3211" w:type="dxa"/>
          </w:tcPr>
          <w:p w14:paraId="11C10196" w14:textId="41C78253" w:rsidR="00D842C2" w:rsidRPr="00607F56" w:rsidRDefault="003D2D1D" w:rsidP="001C489D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現行條文</w:t>
            </w:r>
          </w:p>
        </w:tc>
        <w:tc>
          <w:tcPr>
            <w:tcW w:w="3212" w:type="dxa"/>
          </w:tcPr>
          <w:p w14:paraId="34669E9A" w14:textId="6AB53E8D" w:rsidR="00D842C2" w:rsidRPr="00607F56" w:rsidRDefault="003D2D1D" w:rsidP="001C489D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</w:t>
            </w:r>
          </w:p>
        </w:tc>
      </w:tr>
      <w:tr w:rsidR="003C688A" w:rsidRPr="00607F56" w14:paraId="33913617" w14:textId="77777777" w:rsidTr="002170C9">
        <w:tc>
          <w:tcPr>
            <w:tcW w:w="3211" w:type="dxa"/>
          </w:tcPr>
          <w:p w14:paraId="31825AB4" w14:textId="5667D51F" w:rsidR="003C688A" w:rsidRPr="00607F56" w:rsidRDefault="003C688A" w:rsidP="00421744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二、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除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上櫃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市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公司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轉上市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(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櫃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)</w:t>
            </w:r>
            <w:r w:rsidR="00DB227F"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或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轉創新板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案件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及其他法令另有規定者外，承銷商輔導發行公司以普通股辦理股票初次上市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櫃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案件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以下簡稱初次上市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櫃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案件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，應於向臺灣證券交易所股份有限公司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以下簡稱證交所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或財團法人中華民國證券櫃檯買賣中心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以下簡稱櫃檯買賣中心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申請初次上市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櫃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前與發行公司簽訂協議，其協議內容應包含下列各款：</w:t>
            </w:r>
          </w:p>
          <w:p w14:paraId="70DE84A1" w14:textId="77777777" w:rsidR="003C688A" w:rsidRPr="00607F56" w:rsidRDefault="003C688A" w:rsidP="00421744">
            <w:pPr>
              <w:spacing w:line="42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主辦承銷商應要求發行公司協調其股東就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當次依證交所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或櫃檯買賣中心規定，應委託證券商辦理公開承銷股數之百分之十五之額度，提供已發行普通股股票供主辦承銷商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辦理過額配售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惟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主辦承銷商得依市場需求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決定過額配售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數量。</w:t>
            </w:r>
          </w:p>
          <w:p w14:paraId="2392FB24" w14:textId="77777777" w:rsidR="003C688A" w:rsidRPr="00607F56" w:rsidRDefault="003C688A" w:rsidP="00421744">
            <w:pPr>
              <w:spacing w:line="42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主辦承銷商如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辦理過額配售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，且實際繳款股數超過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當次依證交所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或櫃檯買賣中心規定，應委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託證券商辦理公開承銷股數時，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就過額配售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所得之價款，應全數保留於主辦承銷商開立之代收承銷款專戶，且非依第七點規定執行買回股票或依第八點規定與發行公司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辦理過額配售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部分之結算外，不得動支。</w:t>
            </w:r>
          </w:p>
          <w:p w14:paraId="58B96839" w14:textId="77777777" w:rsidR="003C688A" w:rsidRPr="00607F56" w:rsidRDefault="003C688A" w:rsidP="00421744">
            <w:pPr>
              <w:spacing w:line="42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除依規定應提出強制集保股份外，主辦承銷商應要求發行公司協助取得該公司之董事、監察人、持股達百分之十之股東等之配偶及其二親等親屬、該公司經理人本人及其配偶及其二親等親屬及其他股東，就其所持有之已發行普通股股票，於掛牌日起一定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期間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不得少於三個月，長於六個月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內，自願送存臺灣證券集中保管股份有限公司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以下簡稱集保公司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集保並不得賣出之承諾。</w:t>
            </w:r>
          </w:p>
          <w:p w14:paraId="5BE02BDF" w14:textId="77777777" w:rsidR="003C688A" w:rsidRPr="00607F56" w:rsidRDefault="003C688A" w:rsidP="00421744">
            <w:pPr>
              <w:spacing w:line="42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辦理過額配售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者，發行公司應於主辦承銷商辦理有價證券帳簿劃撥配發前，將提供已發行普通股股票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辦理過額配售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之股東之姓名、身分證字號、股數及集保帳號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等資料提供集保公司；另為配合主辦承銷商依第八點規定辦理之股票返還作業時，亦同。</w:t>
            </w:r>
          </w:p>
          <w:p w14:paraId="41FFE9B2" w14:textId="77777777" w:rsidR="003C688A" w:rsidRPr="00607F56" w:rsidRDefault="003C688A" w:rsidP="00421744">
            <w:pPr>
              <w:spacing w:line="42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辦理過額配售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者，於辦理承銷期間至掛牌後五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個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交易日內執行穩定價格操作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期間，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發行公司不得辦理除息或除權。</w:t>
            </w:r>
          </w:p>
          <w:p w14:paraId="120920F3" w14:textId="11B529C8" w:rsidR="003C688A" w:rsidRPr="00607F56" w:rsidRDefault="003C688A" w:rsidP="00421744">
            <w:pPr>
              <w:spacing w:line="420" w:lineRule="exact"/>
              <w:ind w:firstLineChars="200" w:firstLine="48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前項協議內容應先取得發行公司董事會決議通過後始得辦理。</w:t>
            </w:r>
          </w:p>
        </w:tc>
        <w:tc>
          <w:tcPr>
            <w:tcW w:w="3211" w:type="dxa"/>
          </w:tcPr>
          <w:p w14:paraId="26CE8D60" w14:textId="77777777" w:rsidR="003C688A" w:rsidRPr="00607F56" w:rsidRDefault="003C688A" w:rsidP="00421744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二、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除上櫃轉上市案件及其他法令另有規定者外，承銷商輔導發行公司以普通股辦理股票初次上市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櫃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案件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以下簡稱初次上市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櫃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案件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，應於向臺灣證券交易所股份有限公司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以下簡稱證交所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或財團法人中華民國證券櫃檯買賣中心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以下簡稱櫃檯買賣中心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申請初次上市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櫃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前與發行公司簽訂協議，其協議內容應包含下列各款：</w:t>
            </w:r>
          </w:p>
          <w:p w14:paraId="407C6C36" w14:textId="77777777" w:rsidR="003C688A" w:rsidRPr="00607F56" w:rsidRDefault="003C688A" w:rsidP="00421744">
            <w:pPr>
              <w:spacing w:line="42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主辦承銷商應要求發行公司協調其股東就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當次依證交所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或櫃檯買賣中心規定，應委託證券商辦理公開承銷股數之百分之十五之額度，提供已發行普通股股票供主辦承銷商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辦理過額配售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；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惟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主辦承銷商得依市場需求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決定過額配售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數量。</w:t>
            </w:r>
          </w:p>
          <w:p w14:paraId="0050363A" w14:textId="77777777" w:rsidR="003C688A" w:rsidRPr="00607F56" w:rsidRDefault="003C688A" w:rsidP="00421744">
            <w:pPr>
              <w:spacing w:line="42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主辦承銷商如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辦理過額配售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，且實際繳款股數超過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當次依證交所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或櫃檯買賣中心規定，應委託證券商辦理公開承銷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股數時，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就過額配售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所得之價款，應全數保留於主辦承銷商開立之代收承銷款專戶，且非依第七點規定執行買回股票或依第八點規定與發行公司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辦理過額配售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部分之結算外，不得動支。</w:t>
            </w:r>
          </w:p>
          <w:p w14:paraId="203D040C" w14:textId="77777777" w:rsidR="003C688A" w:rsidRPr="00607F56" w:rsidRDefault="003C688A" w:rsidP="00421744">
            <w:pPr>
              <w:spacing w:line="42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除依規定應提出強制集保股份外，主辦承銷商應要求發行公司協助取得該公司之董事、監察人、持股達百分之十之股東等之配偶及其二親等親屬、該公司經理人本人及其配偶及其二親等親屬及其他股東，就其所持有之已發行普通股股票，於掛牌日起一定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期間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不得少於三個月，長於六個月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內，自願送存臺灣證券集中保管股份有限公司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以下簡稱集保公司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集保並不得賣出之承諾。</w:t>
            </w:r>
          </w:p>
          <w:p w14:paraId="5FD103F2" w14:textId="77777777" w:rsidR="003C688A" w:rsidRPr="00607F56" w:rsidRDefault="003C688A" w:rsidP="00421744">
            <w:pPr>
              <w:spacing w:line="42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辦理過額配售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者，發行公司應於主辦承銷商辦理有價證券帳簿劃撥配發前，將提供已發行普通股股票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辦理過額配售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之股東之姓名、身分證字號、股數及集保帳號等資料提供集保公司；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另為配合主辦承銷商依第八點規定辦理之股票返還作業時，亦同。</w:t>
            </w:r>
          </w:p>
          <w:p w14:paraId="2768E898" w14:textId="70913CFE" w:rsidR="003C688A" w:rsidRPr="00607F56" w:rsidRDefault="003C688A" w:rsidP="00421744">
            <w:pPr>
              <w:spacing w:line="42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辦理過額配售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者，於辦理承銷期間至掛牌後五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個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交易日內執行穩定價格操作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期間，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發行公司不得辦理除息或除權。</w:t>
            </w:r>
          </w:p>
          <w:p w14:paraId="0341C793" w14:textId="01FE6908" w:rsidR="003C688A" w:rsidRPr="00607F56" w:rsidRDefault="003C688A" w:rsidP="00421744">
            <w:pPr>
              <w:spacing w:line="42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前項協議內容應先取得發行公司董事會決議通過後始得辦理。</w:t>
            </w:r>
          </w:p>
        </w:tc>
        <w:tc>
          <w:tcPr>
            <w:tcW w:w="3212" w:type="dxa"/>
          </w:tcPr>
          <w:p w14:paraId="0D91F5D9" w14:textId="5498C9F1" w:rsidR="003C688A" w:rsidRPr="00607F56" w:rsidRDefault="003C688A" w:rsidP="00421744">
            <w:pPr>
              <w:spacing w:line="4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比照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櫃轉市案件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</w:t>
            </w:r>
            <w:r w:rsidR="00B40A53"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明定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上市轉上櫃、上市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櫃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轉創新板案件，</w:t>
            </w:r>
            <w:proofErr w:type="gramStart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不適用過額配售</w:t>
            </w:r>
            <w:proofErr w:type="gramEnd"/>
            <w:r w:rsidRPr="00607F5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規定。</w:t>
            </w:r>
          </w:p>
        </w:tc>
      </w:tr>
    </w:tbl>
    <w:p w14:paraId="0CEDE1C8" w14:textId="77777777" w:rsidR="00D842C2" w:rsidRPr="00607F56" w:rsidRDefault="00D842C2">
      <w:pPr>
        <w:rPr>
          <w:color w:val="000000" w:themeColor="text1"/>
        </w:rPr>
      </w:pPr>
    </w:p>
    <w:sectPr w:rsidR="00D842C2" w:rsidRPr="00607F56" w:rsidSect="002170C9">
      <w:footerReference w:type="default" r:id="rId7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93B6" w14:textId="77777777" w:rsidR="00EF37BC" w:rsidRDefault="00EF37BC" w:rsidP="001033CB">
      <w:r>
        <w:separator/>
      </w:r>
    </w:p>
  </w:endnote>
  <w:endnote w:type="continuationSeparator" w:id="0">
    <w:p w14:paraId="03C7379A" w14:textId="77777777" w:rsidR="00EF37BC" w:rsidRDefault="00EF37BC" w:rsidP="0010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941430"/>
      <w:docPartObj>
        <w:docPartGallery w:val="Page Numbers (Bottom of Page)"/>
        <w:docPartUnique/>
      </w:docPartObj>
    </w:sdtPr>
    <w:sdtContent>
      <w:p w14:paraId="11145C8D" w14:textId="261CCBF4" w:rsidR="002170C9" w:rsidRDefault="002170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4CC21C3" w14:textId="77777777" w:rsidR="002170C9" w:rsidRDefault="002170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9ACD" w14:textId="77777777" w:rsidR="00EF37BC" w:rsidRDefault="00EF37BC" w:rsidP="001033CB">
      <w:r>
        <w:separator/>
      </w:r>
    </w:p>
  </w:footnote>
  <w:footnote w:type="continuationSeparator" w:id="0">
    <w:p w14:paraId="4828C3E2" w14:textId="77777777" w:rsidR="00EF37BC" w:rsidRDefault="00EF37BC" w:rsidP="0010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3B6"/>
    <w:multiLevelType w:val="multilevel"/>
    <w:tmpl w:val="9E82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92CBC"/>
    <w:multiLevelType w:val="hybridMultilevel"/>
    <w:tmpl w:val="168E9B66"/>
    <w:lvl w:ilvl="0" w:tplc="9BE63F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244D20"/>
    <w:multiLevelType w:val="multilevel"/>
    <w:tmpl w:val="26FC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E3723"/>
    <w:multiLevelType w:val="multilevel"/>
    <w:tmpl w:val="1670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446A20"/>
    <w:multiLevelType w:val="multilevel"/>
    <w:tmpl w:val="2766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04315E"/>
    <w:multiLevelType w:val="multilevel"/>
    <w:tmpl w:val="6036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005717">
    <w:abstractNumId w:val="2"/>
  </w:num>
  <w:num w:numId="2" w16cid:durableId="1509641416">
    <w:abstractNumId w:val="0"/>
  </w:num>
  <w:num w:numId="3" w16cid:durableId="1195851570">
    <w:abstractNumId w:val="3"/>
  </w:num>
  <w:num w:numId="4" w16cid:durableId="470558718">
    <w:abstractNumId w:val="5"/>
  </w:num>
  <w:num w:numId="5" w16cid:durableId="1998916770">
    <w:abstractNumId w:val="1"/>
  </w:num>
  <w:num w:numId="6" w16cid:durableId="98180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C2"/>
    <w:rsid w:val="001033CB"/>
    <w:rsid w:val="001C489D"/>
    <w:rsid w:val="001D76A0"/>
    <w:rsid w:val="002170C9"/>
    <w:rsid w:val="00264833"/>
    <w:rsid w:val="00273734"/>
    <w:rsid w:val="00277F55"/>
    <w:rsid w:val="00280755"/>
    <w:rsid w:val="003A7A17"/>
    <w:rsid w:val="003C688A"/>
    <w:rsid w:val="003D2D1D"/>
    <w:rsid w:val="00416A77"/>
    <w:rsid w:val="00421744"/>
    <w:rsid w:val="0049708D"/>
    <w:rsid w:val="005341F6"/>
    <w:rsid w:val="005365A4"/>
    <w:rsid w:val="005D7A47"/>
    <w:rsid w:val="005E0417"/>
    <w:rsid w:val="00607F56"/>
    <w:rsid w:val="006118A1"/>
    <w:rsid w:val="00653007"/>
    <w:rsid w:val="0067115C"/>
    <w:rsid w:val="00852861"/>
    <w:rsid w:val="009011E1"/>
    <w:rsid w:val="0094657F"/>
    <w:rsid w:val="009557BA"/>
    <w:rsid w:val="009762C8"/>
    <w:rsid w:val="0097772F"/>
    <w:rsid w:val="009828FD"/>
    <w:rsid w:val="009A4659"/>
    <w:rsid w:val="009D0F3C"/>
    <w:rsid w:val="00A5141D"/>
    <w:rsid w:val="00AB51DA"/>
    <w:rsid w:val="00B40A53"/>
    <w:rsid w:val="00B50063"/>
    <w:rsid w:val="00D842C2"/>
    <w:rsid w:val="00D94AA6"/>
    <w:rsid w:val="00DA2640"/>
    <w:rsid w:val="00DB227F"/>
    <w:rsid w:val="00E11B11"/>
    <w:rsid w:val="00ED01AE"/>
    <w:rsid w:val="00EF37BC"/>
    <w:rsid w:val="00F11458"/>
    <w:rsid w:val="00F2035F"/>
    <w:rsid w:val="00F7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E35BB"/>
  <w15:chartTrackingRefBased/>
  <w15:docId w15:val="{F01A039D-649D-4965-BAD9-688ED062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11B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006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0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33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33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鍾韻琳</dc:creator>
  <cp:keywords/>
  <dc:description/>
  <cp:lastModifiedBy>鍾韻琳</cp:lastModifiedBy>
  <cp:revision>12</cp:revision>
  <cp:lastPrinted>2025-11-14T03:11:00Z</cp:lastPrinted>
  <dcterms:created xsi:type="dcterms:W3CDTF">2025-11-11T03:23:00Z</dcterms:created>
  <dcterms:modified xsi:type="dcterms:W3CDTF">2026-01-07T03:03:00Z</dcterms:modified>
</cp:coreProperties>
</file>